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Titreprincipal"/>
        <w:jc w:val="center"/>
        <w:rPr/>
      </w:pPr>
      <w:bookmarkStart w:id="0" w:name="_d8lcnsdcmwif"/>
      <w:bookmarkEnd w:id="0"/>
      <w:r>
        <w:rPr/>
        <w:t>ELI-DL URI components</w:t>
      </w:r>
    </w:p>
    <w:p>
      <w:pPr>
        <w:pStyle w:val="Normal1"/>
        <w:rPr/>
      </w:pPr>
      <w:r>
        <w:rPr/>
      </w:r>
    </w:p>
    <w:p>
      <w:pPr>
        <w:pStyle w:val="Titre1"/>
        <w:rPr/>
      </w:pPr>
      <w:bookmarkStart w:id="1" w:name="_4u8tsc8vxbo1"/>
      <w:bookmarkEnd w:id="1"/>
      <w:r>
        <w:rPr/>
        <w:t>Executive Summary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This note :</w:t>
      </w:r>
    </w:p>
    <w:p>
      <w:pPr>
        <w:pStyle w:val="Normal1"/>
        <w:numPr>
          <w:ilvl w:val="0"/>
          <w:numId w:val="2"/>
        </w:numPr>
        <w:ind w:left="720" w:hanging="360"/>
        <w:rPr>
          <w:u w:val="none"/>
        </w:rPr>
      </w:pPr>
      <w:r>
        <w:rPr/>
        <w:t>describes additional URI components of the core ELI framework components to identify entities in the Draft Legislation extension (ELI-DL);</w:t>
      </w:r>
    </w:p>
    <w:p>
      <w:pPr>
        <w:pStyle w:val="Normal1"/>
        <w:numPr>
          <w:ilvl w:val="0"/>
          <w:numId w:val="2"/>
        </w:numPr>
        <w:ind w:left="720" w:hanging="360"/>
        <w:rPr>
          <w:u w:val="none"/>
        </w:rPr>
      </w:pPr>
      <w:r>
        <w:rPr/>
        <w:t>give general guidelines and best practices on how to forge the URIs of Legal Activities and other entities in the ELI-DL extension;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It should be read by teams of the ELI Taskforce members wishing to implement ELI for Draft Legislation.</w:t>
      </w:r>
    </w:p>
    <w:p>
      <w:pPr>
        <w:pStyle w:val="Normal1"/>
        <w:rPr/>
      </w:pPr>
      <w:r>
        <w:rPr/>
      </w:r>
    </w:p>
    <w:p>
      <w:pPr>
        <w:pStyle w:val="Titre1"/>
        <w:rPr/>
      </w:pPr>
      <w:bookmarkStart w:id="2" w:name="_81ywfesawyfo"/>
      <w:bookmarkEnd w:id="2"/>
      <w:r>
        <w:rPr/>
        <w:t>ELI-DL URI components</w:t>
      </w:r>
    </w:p>
    <w:p>
      <w:pPr>
        <w:pStyle w:val="Normal1"/>
        <w:rPr/>
      </w:pPr>
      <w:r>
        <w:rPr/>
        <w:t xml:space="preserve">The ELI core URI components are listed in the </w:t>
      </w:r>
      <w:hyperlink r:id="rId2">
        <w:r>
          <w:rPr>
            <w:color w:val="1155CC"/>
            <w:u w:val="single"/>
          </w:rPr>
          <w:t>Reference ELI template components document</w:t>
        </w:r>
      </w:hyperlink>
      <w:r>
        <w:rPr/>
        <w:t>. ELI-DL defines the following additional URI components in the table below, similar to the ELI core URI component table.</w:t>
      </w:r>
    </w:p>
    <w:p>
      <w:pPr>
        <w:pStyle w:val="Normal1"/>
        <w:rPr/>
      </w:pPr>
      <w:r>
        <w:rPr/>
        <w:t>Note that all existing ELI URI components remain applicable in the case of draft legislation, typically Agent, Point-in-Time, Sequence number, Jurisdiction, Language, Format, etc.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tbl>
      <w:tblPr>
        <w:tblStyle w:val="Table1"/>
        <w:tblW w:w="9180" w:type="dxa"/>
        <w:jc w:val="left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964"/>
        <w:gridCol w:w="1981"/>
        <w:gridCol w:w="5235"/>
      </w:tblGrid>
      <w:tr>
        <w:trPr/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b/>
              </w:rPr>
            </w:pPr>
            <w:r>
              <w:rPr>
                <w:b/>
              </w:rPr>
              <w:t>Comments</w:t>
            </w:r>
          </w:p>
        </w:tc>
      </w:tr>
      <w:tr>
        <w:trPr>
          <w:trHeight w:val="420" w:hRule="atLeast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highlight w:val="yellow"/>
              </w:rPr>
            </w:pPr>
            <w:r>
              <w:rPr>
                <w:highlight w:val="yellow"/>
              </w:rPr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/eli/dl</w:t>
            </w:r>
          </w:p>
        </w:tc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The “/eli/dl” root is used to indicate the URI of any entity related to draft legislation, as opposed to an ELI URI from the legislation corpus.</w:t>
            </w:r>
          </w:p>
        </w:tc>
      </w:tr>
      <w:tr>
        <w:trPr>
          <w:trHeight w:val="420" w:hRule="atLeast"/>
        </w:trPr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Legislative process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process type</w:t>
            </w:r>
          </w:p>
        </w:tc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Nature of a legislation drafting process.</w:t>
            </w:r>
          </w:p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When the exact nature of the legislative process is not known, or is not applicable, a fixed value or code should be used to indicate that the URI identifies a legislative process.</w:t>
            </w:r>
          </w:p>
        </w:tc>
      </w:tr>
      <w:tr>
        <w:trPr>
          <w:trHeight w:val="420" w:hRule="atLeast"/>
        </w:trPr>
        <w:tc>
          <w:tcPr>
            <w:tcW w:w="196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process identifier</w:t>
            </w:r>
          </w:p>
        </w:tc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An identifier, number or reference of the legislative process.</w:t>
            </w:r>
          </w:p>
        </w:tc>
      </w:tr>
      <w:tr>
        <w:trPr>
          <w:trHeight w:val="420" w:hRule="atLeast"/>
        </w:trPr>
        <w:tc>
          <w:tcPr>
            <w:tcW w:w="19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Activities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activity</w:t>
            </w:r>
          </w:p>
        </w:tc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Reference to an activity taking place in the course of a legislative process.</w:t>
            </w:r>
          </w:p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This can be decomposed into an activity type followed by a sequence number or an activity date, or use any other ways of referring to an activity, depending on requirements.</w:t>
            </w:r>
          </w:p>
        </w:tc>
      </w:tr>
      <w:tr>
        <w:trPr>
          <w:trHeight w:val="420" w:hRule="atLeast"/>
        </w:trPr>
        <w:tc>
          <w:tcPr>
            <w:tcW w:w="1964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/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subactivity</w:t>
            </w:r>
          </w:p>
        </w:tc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The decomposition of a larger activity into smaller activities.</w:t>
            </w:r>
          </w:p>
        </w:tc>
      </w:tr>
      <w:tr>
        <w:trPr>
          <w:trHeight w:val="420" w:hRule="atLeast"/>
        </w:trPr>
        <w:tc>
          <w:tcPr>
            <w:tcW w:w="1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Documents produced within a legislative process</w:t>
            </w:r>
          </w:p>
        </w:tc>
        <w:tc>
          <w:tcPr>
            <w:tcW w:w="1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type of a legislative process document</w:t>
            </w:r>
          </w:p>
        </w:tc>
        <w:tc>
          <w:tcPr>
            <w:tcW w:w="5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>The nature of a document produced during a legislative process.</w:t>
            </w:r>
          </w:p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 xml:space="preserve">When the exact nature of the document is not known, or is not applicable, a fixed value or code should be used to indicate that the URI identifies a document. </w:t>
            </w:r>
          </w:p>
        </w:tc>
      </w:tr>
    </w:tbl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Titre1"/>
        <w:rPr/>
      </w:pPr>
      <w:bookmarkStart w:id="3" w:name="_q4z336fk8tw4"/>
      <w:bookmarkEnd w:id="3"/>
      <w:r>
        <w:rPr/>
        <w:t>Guidelines for creating ELI-DL URIs</w:t>
      </w:r>
    </w:p>
    <w:p>
      <w:pPr>
        <w:pStyle w:val="Titre2"/>
        <w:rPr/>
      </w:pPr>
      <w:bookmarkStart w:id="4" w:name="_mamtjvujatl7"/>
      <w:bookmarkEnd w:id="4"/>
      <w:r>
        <w:rPr/>
        <w:t>“</w:t>
      </w:r>
      <w:r>
        <w:rPr/>
        <w:t>SHOULD” and “MUST” guidelines</w:t>
      </w:r>
    </w:p>
    <w:p>
      <w:pPr>
        <w:pStyle w:val="Normal1"/>
        <w:rPr/>
      </w:pPr>
      <w:r>
        <w:rPr/>
        <w:t>Key words MUST, SHOULD in this document are to be interpreted as described in</w:t>
      </w:r>
      <w:hyperlink r:id="rId3">
        <w:r>
          <w:rPr/>
          <w:t xml:space="preserve"> </w:t>
        </w:r>
      </w:hyperlink>
      <w:hyperlink r:id="rId4">
        <w:r>
          <w:rPr>
            <w:color w:val="1155CC"/>
            <w:u w:val="single"/>
          </w:rPr>
          <w:t>BCP 14</w:t>
        </w:r>
      </w:hyperlink>
      <w:r>
        <w:rPr/>
        <w:t xml:space="preserve"> :</w:t>
      </w:r>
    </w:p>
    <w:p>
      <w:pPr>
        <w:pStyle w:val="Normal1"/>
        <w:numPr>
          <w:ilvl w:val="0"/>
          <w:numId w:val="1"/>
        </w:numPr>
        <w:ind w:left="720" w:hanging="360"/>
        <w:rPr>
          <w:u w:val="none"/>
        </w:rPr>
      </w:pPr>
      <w:r>
        <w:rPr/>
        <w:t>The key word MUST, when appearing in capital, mean that the definition is an absolute requirement.</w:t>
      </w:r>
    </w:p>
    <w:p>
      <w:pPr>
        <w:pStyle w:val="Normal1"/>
        <w:numPr>
          <w:ilvl w:val="0"/>
          <w:numId w:val="1"/>
        </w:numPr>
        <w:ind w:left="720" w:hanging="360"/>
        <w:rPr>
          <w:u w:val="none"/>
        </w:rPr>
      </w:pPr>
      <w:r>
        <w:rPr/>
        <w:t>The key word SHOULD or the adjective "RECOMMENDED", when appearing in capital, mean that there may exist valid reasons in particular circumstances to ignore a particular item, but the full implications must be understood and carefully weighed before choosing a different course.</w:t>
      </w:r>
    </w:p>
    <w:p>
      <w:pPr>
        <w:pStyle w:val="Titre2"/>
        <w:rPr/>
      </w:pPr>
      <w:bookmarkStart w:id="5" w:name="_vd6e4u8787t9"/>
      <w:bookmarkEnd w:id="5"/>
      <w:r>
        <w:rPr/>
        <w:t>Use the “/eli/dl” root</w:t>
      </w:r>
    </w:p>
    <w:p>
      <w:pPr>
        <w:pStyle w:val="Normal1"/>
        <w:rPr/>
      </w:pPr>
      <w:r>
        <w:rPr/>
        <w:t>The URIs for legislative processes, activities and all related documents MUST all start with the “/eli/dl” path.</w:t>
      </w:r>
    </w:p>
    <w:p>
      <w:pPr>
        <w:pStyle w:val="Normal1"/>
        <w:rPr/>
      </w:pPr>
      <w:r>
        <w:rPr/>
        <w:t>This is made to clearly separate the draft legislation corpus from the published acts; by looking at the URI one immediately knows in which world it belongs.</w:t>
      </w:r>
    </w:p>
    <w:p>
      <w:pPr>
        <w:pStyle w:val="Titre2"/>
        <w:rPr/>
      </w:pPr>
      <w:bookmarkStart w:id="6" w:name="_xdcur1jrrehc"/>
      <w:bookmarkEnd w:id="6"/>
      <w:r>
        <w:rPr/>
        <w:t>Identify legislative processes</w:t>
      </w:r>
    </w:p>
    <w:p>
      <w:pPr>
        <w:pStyle w:val="Normal1"/>
        <w:rPr/>
      </w:pPr>
      <w:r>
        <w:rPr/>
        <w:t>Legislative processes MUST be uniquely identified. Typical identification of legislative processes will use the {process_type} component. This can take a fixed value or code in the case a type is not applicable (e.g. “project”, “proj”, “bill”, “draft”, etc.).</w:t>
      </w:r>
    </w:p>
    <w:p>
      <w:pPr>
        <w:pStyle w:val="Normal1"/>
        <w:rPr/>
      </w:pPr>
      <w:r>
        <w:rPr/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Example (fictitious) : if legislative processes are identified using a sequence number that starts over each year, a possible URI template can be </w:t>
      </w:r>
      <w:r>
        <w:rPr>
          <w:rFonts w:eastAsia="Consolas" w:cs="Consolas" w:ascii="Consolas" w:hAnsi="Consolas"/>
          <w:color w:val="CC0000"/>
          <w:shd w:fill="D9D9D9" w:val="clear"/>
        </w:rPr>
        <w:t>/eli/dl/proj/{year}/{process_identifier}</w:t>
      </w:r>
    </w:p>
    <w:p>
      <w:pPr>
        <w:pStyle w:val="Normal1"/>
        <w:rPr/>
      </w:pPr>
      <w:r>
        <w:rPr/>
      </w:r>
    </w:p>
    <w:p>
      <w:pPr>
        <w:pStyle w:val="Normal1"/>
        <w:rPr>
          <w:i/>
          <w:i/>
        </w:rPr>
      </w:pPr>
      <w:r>
        <w:rPr>
          <w:i/>
        </w:rPr>
        <w:t xml:space="preserve">Here, </w:t>
      </w:r>
      <w:r>
        <w:rPr>
          <w:rFonts w:eastAsia="Consolas" w:cs="Consolas" w:ascii="Consolas" w:hAnsi="Consolas"/>
          <w:color w:val="CC0000"/>
          <w:shd w:fill="D9D9D9" w:val="clear"/>
        </w:rPr>
        <w:t>proj</w:t>
      </w:r>
      <w:r>
        <w:rPr>
          <w:i/>
        </w:rPr>
        <w:t xml:space="preserve"> is a fixed value for the {process_type} component, right after the </w:t>
      </w:r>
      <w:r>
        <w:rPr>
          <w:rFonts w:eastAsia="Consolas" w:cs="Consolas" w:ascii="Consolas" w:hAnsi="Consolas"/>
          <w:color w:val="CC0000"/>
          <w:shd w:fill="D9D9D9" w:val="clear"/>
        </w:rPr>
        <w:t>/eli/dl</w:t>
      </w:r>
      <w:r>
        <w:rPr>
          <w:i/>
        </w:rPr>
        <w:t xml:space="preserve"> root.</w:t>
      </w:r>
    </w:p>
    <w:p>
      <w:pPr>
        <w:pStyle w:val="Titre2"/>
        <w:rPr/>
      </w:pPr>
      <w:bookmarkStart w:id="7" w:name="_65ifpjxamdc9"/>
      <w:bookmarkEnd w:id="7"/>
      <w:r>
        <w:rPr/>
        <w:t>Use the legislative process URI as root of activities URIs</w:t>
      </w:r>
    </w:p>
    <w:p>
      <w:pPr>
        <w:pStyle w:val="Normal1"/>
        <w:rPr/>
      </w:pPr>
      <w:r>
        <w:rPr/>
        <w:t>The legislative process URI SHOULD be used as a root URI to identify activities that took place during the process, using the {activity} URI component.</w:t>
      </w:r>
    </w:p>
    <w:p>
      <w:pPr>
        <w:pStyle w:val="Normal1"/>
        <w:rPr/>
      </w:pPr>
      <w:r>
        <w:rPr/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Example (fictitious) : </w:t>
      </w:r>
      <w:r>
        <w:rPr>
          <w:rFonts w:eastAsia="Consolas" w:cs="Consolas" w:ascii="Consolas" w:hAnsi="Consolas"/>
          <w:color w:val="CC0000"/>
          <w:shd w:fill="D9D9D9" w:val="clear"/>
        </w:rPr>
        <w:t>/eli/dl/proj/{year}/{process_identifier}/{activity}</w:t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rFonts w:eastAsia="Consolas" w:cs="Consolas" w:ascii="Consolas" w:hAnsi="Consolas"/>
          <w:color w:val="CC0000"/>
          <w:shd w:fill="D9D9D9" w:val="clear"/>
        </w:rPr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Note how the </w:t>
      </w:r>
      <w:r>
        <w:rPr>
          <w:rFonts w:eastAsia="Consolas" w:cs="Consolas" w:ascii="Consolas" w:hAnsi="Consolas"/>
          <w:color w:val="CC0000"/>
          <w:shd w:fill="D9D9D9" w:val="clear"/>
        </w:rPr>
        <w:t>{activity}</w:t>
      </w:r>
      <w:r>
        <w:rPr>
          <w:i/>
        </w:rPr>
        <w:t xml:space="preserve"> component follows the URI that identifies the process itself.</w:t>
      </w:r>
    </w:p>
    <w:p>
      <w:pPr>
        <w:pStyle w:val="Titre2"/>
        <w:rPr/>
      </w:pPr>
      <w:bookmarkStart w:id="8" w:name="_n5uzx5ky6uln"/>
      <w:bookmarkEnd w:id="8"/>
      <w:r>
        <w:rPr/>
        <w:t>By default, identify an activity with an activity type plus a sequence number or a date</w:t>
      </w:r>
    </w:p>
    <w:p>
      <w:pPr>
        <w:pStyle w:val="Normal1"/>
        <w:rPr/>
      </w:pPr>
      <w:r>
        <w:rPr/>
        <w:t>The identification of an activity depends on each country’s requirements; if there is no such requirement, it is suggested that the {activity} component is structured in {activity_type}_{sequence_number} : the type of the activity, the “_” (underscore) character, and the sequence number of the activity in the serie of activities. The {activity_type}, when unknown or not applicable, can take a fixed value or code that indicate this URI identifies an activity (e.g. “activity”, “avt”, “event”, “evt”, etc. using “act” is discouraged to avoid confusion with a published act).</w:t>
      </w:r>
    </w:p>
    <w:p>
      <w:pPr>
        <w:pStyle w:val="Normal1"/>
        <w:rPr/>
      </w:pPr>
      <w:r>
        <w:rPr/>
        <w:t>Instead of a {sequence_number}, if it is known, the {activity_date} can also be used, i.e. {activity_type}_{activity_date}. The date SHOULD be formatted in YYYYMMDD.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In all cases, the URI identifier of an activity MUST be unique.</w:t>
      </w:r>
    </w:p>
    <w:p>
      <w:pPr>
        <w:pStyle w:val="Normal1"/>
        <w:rPr/>
      </w:pPr>
      <w:r>
        <w:rPr/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Example (fictitious) : </w:t>
      </w:r>
      <w:r>
        <w:rPr>
          <w:rFonts w:eastAsia="Consolas" w:cs="Consolas" w:ascii="Consolas" w:hAnsi="Consolas"/>
          <w:color w:val="CC0000"/>
          <w:shd w:fill="D9D9D9" w:val="clear"/>
        </w:rPr>
        <w:t>/eli/dl/proj/2019/123/avt_2</w:t>
      </w:r>
    </w:p>
    <w:p>
      <w:pPr>
        <w:pStyle w:val="Normal1"/>
        <w:keepNext w:val="false"/>
        <w:keepLines w:val="false"/>
        <w:widowControl/>
        <w:pBdr/>
        <w:shd w:val="clear" w:fill="auto"/>
        <w:spacing w:lineRule="auto" w:line="276" w:before="0" w:after="0"/>
        <w:ind w:left="0" w:right="0" w:hanging="0"/>
        <w:jc w:val="left"/>
        <w:rPr>
          <w:i/>
          <w:i/>
        </w:rPr>
      </w:pPr>
      <w:r>
        <w:rPr>
          <w:i/>
        </w:rPr>
        <w:t xml:space="preserve">Note how the activity is identified using a fixed value </w:t>
      </w:r>
      <w:r>
        <w:rPr>
          <w:rFonts w:eastAsia="Consolas" w:cs="Consolas" w:ascii="Consolas" w:hAnsi="Consolas"/>
          <w:color w:val="CC0000"/>
          <w:shd w:fill="D9D9D9" w:val="clear"/>
        </w:rPr>
        <w:t>avt</w:t>
      </w:r>
      <w:r>
        <w:rPr>
          <w:i/>
        </w:rPr>
        <w:t xml:space="preserve"> and the sequence number </w:t>
      </w:r>
      <w:r>
        <w:rPr>
          <w:rFonts w:eastAsia="Consolas" w:cs="Consolas" w:ascii="Consolas" w:hAnsi="Consolas"/>
          <w:color w:val="CC0000"/>
          <w:shd w:fill="D9D9D9" w:val="clear"/>
        </w:rPr>
        <w:t>2</w:t>
      </w:r>
      <w:r>
        <w:rPr>
          <w:i/>
        </w:rPr>
        <w:t>, indicating this is the second activity that occurred during the process.</w:t>
      </w:r>
    </w:p>
    <w:p>
      <w:pPr>
        <w:pStyle w:val="Normal1"/>
        <w:rPr>
          <w:i/>
          <w:i/>
        </w:rPr>
      </w:pPr>
      <w:r>
        <w:rPr>
          <w:i/>
        </w:rPr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Example (fictitious) : </w:t>
      </w:r>
      <w:r>
        <w:rPr>
          <w:rFonts w:eastAsia="Consolas" w:cs="Consolas" w:ascii="Consolas" w:hAnsi="Consolas"/>
          <w:color w:val="CC0000"/>
          <w:shd w:fill="D9D9D9" w:val="clear"/>
        </w:rPr>
        <w:t>/eli/dl/proj/2019/123/opinion_20200214</w:t>
      </w:r>
    </w:p>
    <w:p>
      <w:pPr>
        <w:pStyle w:val="Normal1"/>
        <w:rPr>
          <w:i/>
          <w:i/>
        </w:rPr>
      </w:pPr>
      <w:r>
        <w:rPr>
          <w:i/>
        </w:rPr>
        <w:t xml:space="preserve">Note how the activity is identified using an activity type </w:t>
      </w:r>
      <w:r>
        <w:rPr>
          <w:rFonts w:eastAsia="Consolas" w:cs="Consolas" w:ascii="Consolas" w:hAnsi="Consolas"/>
          <w:color w:val="CC0000"/>
          <w:shd w:fill="D9D9D9" w:val="clear"/>
        </w:rPr>
        <w:t>opinion</w:t>
      </w:r>
      <w:r>
        <w:rPr>
          <w:i/>
        </w:rPr>
        <w:t xml:space="preserve"> and the activity date </w:t>
      </w:r>
      <w:r>
        <w:rPr>
          <w:rFonts w:eastAsia="Consolas" w:cs="Consolas" w:ascii="Consolas" w:hAnsi="Consolas"/>
          <w:color w:val="CC0000"/>
          <w:shd w:fill="D9D9D9" w:val="clear"/>
        </w:rPr>
        <w:t>20200214</w:t>
      </w:r>
      <w:r>
        <w:rPr>
          <w:i/>
        </w:rPr>
        <w:t>, indicating the date at which the activity took place.</w:t>
      </w:r>
    </w:p>
    <w:p>
      <w:pPr>
        <w:pStyle w:val="Titre2"/>
        <w:rPr/>
      </w:pPr>
      <w:bookmarkStart w:id="9" w:name="_wtvsc88dv05u"/>
      <w:bookmarkEnd w:id="9"/>
      <w:r>
        <w:rPr/>
        <w:t>Nest subactivities in the hierarchical structure of the URI</w:t>
      </w:r>
    </w:p>
    <w:p>
      <w:pPr>
        <w:pStyle w:val="Normal1"/>
        <w:rPr/>
      </w:pPr>
      <w:r>
        <w:rPr/>
        <w:t>Subactivities can be identified by nesting them in the hierarchical structure of the URI, typically {activity}/{sub-activity}/{sub-sub-activity}.</w:t>
      </w:r>
    </w:p>
    <w:p>
      <w:pPr>
        <w:pStyle w:val="Normal1"/>
        <w:rPr/>
      </w:pPr>
      <w:r>
        <w:rPr/>
        <w:t>Each activity and subactivity can be identified using the default identification scheme described above, or any other way of identifying an activity depending on each country’s requirement.</w:t>
      </w:r>
    </w:p>
    <w:p>
      <w:pPr>
        <w:pStyle w:val="Normal1"/>
        <w:rPr/>
      </w:pPr>
      <w:r>
        <w:rPr/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Example (fictitious) : </w:t>
      </w:r>
      <w:r>
        <w:rPr>
          <w:rFonts w:eastAsia="Consolas" w:cs="Consolas" w:ascii="Consolas" w:hAnsi="Consolas"/>
          <w:color w:val="CC0000"/>
          <w:shd w:fill="D9D9D9" w:val="clear"/>
        </w:rPr>
        <w:t>/eli/dl/proj/2019/123/parl_2/vote_1</w:t>
      </w:r>
    </w:p>
    <w:p>
      <w:pPr>
        <w:pStyle w:val="Normal1"/>
        <w:rPr/>
      </w:pPr>
      <w:r>
        <w:rPr>
          <w:i/>
        </w:rPr>
        <w:t xml:space="preserve">In this example the activity </w:t>
      </w:r>
      <w:r>
        <w:rPr>
          <w:rFonts w:eastAsia="Consolas" w:cs="Consolas" w:ascii="Consolas" w:hAnsi="Consolas"/>
          <w:color w:val="CC0000"/>
          <w:shd w:fill="D9D9D9" w:val="clear"/>
        </w:rPr>
        <w:t>vote_1</w:t>
      </w:r>
      <w:r>
        <w:rPr>
          <w:i/>
        </w:rPr>
        <w:t xml:space="preserve"> is a subactivity of </w:t>
      </w:r>
      <w:r>
        <w:rPr>
          <w:rFonts w:eastAsia="Consolas" w:cs="Consolas" w:ascii="Consolas" w:hAnsi="Consolas"/>
          <w:color w:val="CC0000"/>
          <w:shd w:fill="D9D9D9" w:val="clear"/>
        </w:rPr>
        <w:t>parl_2</w:t>
      </w:r>
      <w:r>
        <w:rPr>
          <w:i/>
        </w:rPr>
        <w:t>.</w:t>
      </w:r>
    </w:p>
    <w:p>
      <w:pPr>
        <w:pStyle w:val="Titre2"/>
        <w:rPr/>
      </w:pPr>
      <w:bookmarkStart w:id="10" w:name="_gebdzw3vhd15"/>
      <w:bookmarkEnd w:id="10"/>
      <w:r>
        <w:rPr/>
        <w:t>Use the legislative process URI as root of document URIs</w:t>
      </w:r>
    </w:p>
    <w:p>
      <w:pPr>
        <w:pStyle w:val="Normal1"/>
        <w:rPr/>
      </w:pPr>
      <w:r>
        <w:rPr/>
        <w:t>The legislative process URI SHOULD be used as a root URI to identify documents that have been written in the course of the process, using the {type_of_legislative_process_document} and any other suitable URI components.</w:t>
      </w:r>
    </w:p>
    <w:p>
      <w:pPr>
        <w:pStyle w:val="Normal1"/>
        <w:rPr/>
      </w:pPr>
      <w:r>
        <w:rPr/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Example (fictitious) : </w:t>
      </w:r>
      <w:r>
        <w:rPr>
          <w:rFonts w:eastAsia="Consolas" w:cs="Consolas" w:ascii="Consolas" w:hAnsi="Consolas"/>
          <w:color w:val="CC0000"/>
          <w:shd w:fill="D9D9D9" w:val="clear"/>
        </w:rPr>
        <w:t>/eli/dl/proj/{year}/{process_identifier}/{type_of_legislative_process_document}/{document_identifier}</w:t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rFonts w:eastAsia="Consolas" w:cs="Consolas" w:ascii="Consolas" w:hAnsi="Consolas"/>
          <w:color w:val="CC0000"/>
          <w:shd w:fill="D9D9D9" w:val="clear"/>
        </w:rPr>
      </w:r>
    </w:p>
    <w:p>
      <w:pPr>
        <w:pStyle w:val="Normal1"/>
        <w:rPr/>
      </w:pPr>
      <w:r>
        <w:rPr>
          <w:i/>
        </w:rPr>
        <w:t xml:space="preserve">Note how the </w:t>
      </w:r>
      <w:r>
        <w:rPr>
          <w:rFonts w:eastAsia="Consolas" w:cs="Consolas" w:ascii="Consolas" w:hAnsi="Consolas"/>
          <w:color w:val="CC0000"/>
          <w:shd w:fill="D9D9D9" w:val="clear"/>
        </w:rPr>
        <w:t>{type_of_legislative_process_document}/{document_identifier}</w:t>
      </w:r>
      <w:r>
        <w:rPr>
          <w:i/>
        </w:rPr>
        <w:t xml:space="preserve"> part follows the URI that identifies the legislative process itself.</w:t>
      </w:r>
    </w:p>
    <w:p>
      <w:pPr>
        <w:pStyle w:val="Titre2"/>
        <w:rPr/>
      </w:pPr>
      <w:bookmarkStart w:id="11" w:name="_1g51s3qemn8t"/>
      <w:bookmarkEnd w:id="11"/>
      <w:r>
        <w:rPr/>
        <w:t>When possible, give a specific type to the drafted act and amendments</w:t>
      </w:r>
    </w:p>
    <w:p>
      <w:pPr>
        <w:pStyle w:val="Normal1"/>
        <w:rPr/>
      </w:pPr>
      <w:r>
        <w:rPr/>
        <w:t xml:space="preserve">If possible, the drafted act SHOULD be identified with a proper value for the </w:t>
      </w:r>
      <w:r>
        <w:rPr>
          <w:rFonts w:eastAsia="Consolas" w:cs="Consolas" w:ascii="Consolas" w:hAnsi="Consolas"/>
          <w:color w:val="CC0000"/>
        </w:rPr>
        <w:t>{type_of_legislative_process_document}</w:t>
      </w:r>
      <w:r>
        <w:rPr/>
        <w:t xml:space="preserve"> component, like </w:t>
      </w:r>
      <w:r>
        <w:rPr>
          <w:rFonts w:eastAsia="Consolas" w:cs="Consolas" w:ascii="Consolas" w:hAnsi="Consolas"/>
          <w:color w:val="CC0000"/>
        </w:rPr>
        <w:t>draft_act</w:t>
      </w:r>
      <w:r>
        <w:rPr/>
        <w:t>, or an equivalent code in another language.</w:t>
      </w:r>
    </w:p>
    <w:p>
      <w:pPr>
        <w:pStyle w:val="Normal1"/>
        <w:rPr/>
      </w:pPr>
      <w:r>
        <w:rPr/>
      </w:r>
    </w:p>
    <w:p>
      <w:pPr>
        <w:pStyle w:val="Normal1"/>
        <w:rPr>
          <w:i/>
          <w:i/>
        </w:rPr>
      </w:pPr>
      <w:r>
        <w:rPr>
          <w:i/>
        </w:rPr>
        <w:t>Example (fictitious) :</w:t>
      </w:r>
    </w:p>
    <w:p>
      <w:pPr>
        <w:pStyle w:val="Normal1"/>
        <w:ind w:left="0" w:hanging="0"/>
        <w:rPr/>
      </w:pPr>
      <w:r>
        <w:rPr>
          <w:rFonts w:eastAsia="Consolas" w:cs="Consolas" w:ascii="Consolas" w:hAnsi="Consolas"/>
          <w:color w:val="CC0000"/>
        </w:rPr>
        <w:t xml:space="preserve">.../eli/dl/proj/2019/123/draft_act </w:t>
      </w:r>
    </w:p>
    <w:p>
      <w:pPr>
        <w:pStyle w:val="Normal1"/>
        <w:rPr/>
      </w:pPr>
      <w:r>
        <w:rPr>
          <w:i/>
        </w:rPr>
        <w:t>This URI identifies the draft act of legislative process 123 of 2019, independently of one of its temporal version.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If possible, the amendments to the drafted legislation SHOULD be identified with a proper value for the </w:t>
      </w:r>
      <w:r>
        <w:rPr>
          <w:rFonts w:eastAsia="Consolas" w:cs="Consolas" w:ascii="Consolas" w:hAnsi="Consolas"/>
          <w:color w:val="CC0000"/>
        </w:rPr>
        <w:t>{type_of_legislative_process_document}</w:t>
      </w:r>
      <w:r>
        <w:rPr/>
        <w:t xml:space="preserve"> component, like </w:t>
      </w:r>
      <w:r>
        <w:rPr>
          <w:rFonts w:eastAsia="Consolas" w:cs="Consolas" w:ascii="Consolas" w:hAnsi="Consolas"/>
          <w:color w:val="CC0000"/>
        </w:rPr>
        <w:t>amendment</w:t>
      </w:r>
      <w:r>
        <w:rPr/>
        <w:t xml:space="preserve">, or an equivalent code in another language. </w:t>
      </w:r>
    </w:p>
    <w:p>
      <w:pPr>
        <w:pStyle w:val="Normal1"/>
        <w:rPr>
          <w:i/>
          <w:i/>
        </w:rPr>
      </w:pPr>
      <w:r>
        <w:rPr>
          <w:i/>
        </w:rPr>
      </w:r>
    </w:p>
    <w:p>
      <w:pPr>
        <w:pStyle w:val="Normal1"/>
        <w:rPr>
          <w:i/>
          <w:i/>
        </w:rPr>
      </w:pPr>
      <w:r>
        <w:rPr>
          <w:i/>
        </w:rPr>
        <w:t>Example (fictitious) :</w:t>
      </w:r>
    </w:p>
    <w:p>
      <w:pPr>
        <w:pStyle w:val="Normal1"/>
        <w:rPr/>
      </w:pPr>
      <w:r>
        <w:rPr>
          <w:rFonts w:eastAsia="Consolas" w:cs="Consolas" w:ascii="Consolas" w:hAnsi="Consolas"/>
          <w:color w:val="CC0000"/>
        </w:rPr>
        <w:t xml:space="preserve">.../eli/dl/proj/2019/123/amendment/commission_abc </w:t>
      </w:r>
    </w:p>
    <w:p>
      <w:pPr>
        <w:pStyle w:val="Normal1"/>
        <w:rPr/>
      </w:pPr>
      <w:r>
        <w:rPr>
          <w:i/>
        </w:rPr>
        <w:t>This URI identifies an amendment with the identifier “commission_abc”, in the legislative process 123 of 2019 (independently of the potential temporal versions of this amendment).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When known, proper values SHOULD be used for the </w:t>
      </w:r>
      <w:r>
        <w:rPr>
          <w:rFonts w:eastAsia="Consolas" w:cs="Consolas" w:ascii="Consolas" w:hAnsi="Consolas"/>
          <w:color w:val="CC0000"/>
        </w:rPr>
        <w:t>{type_of_legislative_process_document}</w:t>
      </w:r>
      <w:r>
        <w:rPr/>
        <w:t xml:space="preserve"> (e.g. opinion, report, etc.)</w:t>
      </w:r>
    </w:p>
    <w:p>
      <w:pPr>
        <w:pStyle w:val="Normal1"/>
        <w:rPr/>
      </w:pPr>
      <w:r>
        <w:rPr/>
      </w:r>
    </w:p>
    <w:p>
      <w:pPr>
        <w:pStyle w:val="Normal1"/>
        <w:rPr>
          <w:rFonts w:ascii="Consolas" w:hAnsi="Consolas" w:eastAsia="Consolas" w:cs="Consolas"/>
          <w:color w:val="CC0000"/>
        </w:rPr>
      </w:pPr>
      <w:r>
        <w:rPr>
          <w:i/>
        </w:rPr>
        <w:t>Example (fictitious) :</w:t>
      </w:r>
    </w:p>
    <w:p>
      <w:pPr>
        <w:pStyle w:val="Normal1"/>
        <w:rPr>
          <w:rFonts w:ascii="Consolas" w:hAnsi="Consolas" w:eastAsia="Consolas" w:cs="Consolas"/>
          <w:color w:val="CC0000"/>
        </w:rPr>
      </w:pPr>
      <w:r>
        <w:rPr>
          <w:rFonts w:eastAsia="Consolas" w:cs="Consolas" w:ascii="Consolas" w:hAnsi="Consolas"/>
          <w:color w:val="CC0000"/>
        </w:rPr>
        <w:t>.../eli/dl/proj/2019/123/opinion/XYZ</w:t>
      </w:r>
    </w:p>
    <w:p>
      <w:pPr>
        <w:pStyle w:val="Normal1"/>
        <w:rPr/>
      </w:pPr>
      <w:r>
        <w:rPr>
          <w:i/>
        </w:rPr>
        <w:t>This URI identifies an opinion document, with the identifier “XYZ”, in the legislative process 123 of 2019 (independently of the potential successive temporal versions of this opinion document).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Knowing the type of every document that is produced or used in the course of a legislative process may not be possible. In that case, a default value MUST be used for the </w:t>
      </w:r>
      <w:r>
        <w:rPr>
          <w:rFonts w:eastAsia="Consolas" w:cs="Consolas" w:ascii="Consolas" w:hAnsi="Consolas"/>
          <w:color w:val="CC0000"/>
        </w:rPr>
        <w:t>{type_of_legislative_process_document}</w:t>
      </w:r>
      <w:r>
        <w:rPr/>
        <w:t xml:space="preserve"> component, like </w:t>
      </w:r>
      <w:r>
        <w:rPr>
          <w:rFonts w:eastAsia="Consolas" w:cs="Consolas" w:ascii="Consolas" w:hAnsi="Consolas"/>
          <w:color w:val="CC0000"/>
        </w:rPr>
        <w:t>doc</w:t>
      </w:r>
      <w:r>
        <w:rPr/>
        <w:t>, or an equivalent code in the country’s language. The objective is to clearly distinguish a URI that identifies a document from a URI that identifies an activity.</w:t>
      </w:r>
    </w:p>
    <w:p>
      <w:pPr>
        <w:pStyle w:val="Normal1"/>
        <w:rPr/>
      </w:pPr>
      <w:r>
        <w:rPr/>
      </w:r>
    </w:p>
    <w:p>
      <w:pPr>
        <w:pStyle w:val="Normal1"/>
        <w:rPr>
          <w:rFonts w:ascii="Consolas" w:hAnsi="Consolas" w:eastAsia="Consolas" w:cs="Consolas"/>
          <w:color w:val="CC0000"/>
        </w:rPr>
      </w:pPr>
      <w:r>
        <w:rPr>
          <w:i/>
        </w:rPr>
        <w:t>Example (fictitious) :</w:t>
      </w:r>
    </w:p>
    <w:p>
      <w:pPr>
        <w:pStyle w:val="Normal1"/>
        <w:ind w:left="0" w:hanging="0"/>
        <w:rPr>
          <w:rFonts w:ascii="Consolas" w:hAnsi="Consolas" w:eastAsia="Consolas" w:cs="Consolas"/>
          <w:color w:val="CC0000"/>
        </w:rPr>
      </w:pPr>
      <w:r>
        <w:rPr>
          <w:rFonts w:eastAsia="Consolas" w:cs="Consolas" w:ascii="Consolas" w:hAnsi="Consolas"/>
          <w:color w:val="CC0000"/>
        </w:rPr>
        <w:t>.../eli/dl/proj/2019/123/doc/XYZ</w:t>
      </w:r>
    </w:p>
    <w:p>
      <w:pPr>
        <w:pStyle w:val="Normal1"/>
        <w:rPr/>
      </w:pPr>
      <w:r>
        <w:rPr>
          <w:i/>
        </w:rPr>
        <w:t>This URI identifies a document with the identifier “XYZ”, in the legislative process 123 of 2019 (independently of the potential temporal versions of this document).</w:t>
      </w:r>
    </w:p>
    <w:p>
      <w:pPr>
        <w:pStyle w:val="Normal1"/>
        <w:keepNext w:val="false"/>
        <w:keepLines w:val="false"/>
        <w:widowControl/>
        <w:pBdr/>
        <w:shd w:val="clear" w:fill="auto"/>
        <w:spacing w:lineRule="auto" w:line="276" w:before="0" w:after="0"/>
        <w:ind w:right="0" w:hanging="0"/>
        <w:jc w:val="left"/>
        <w:rPr>
          <w:i/>
          <w:i/>
        </w:rPr>
      </w:pPr>
      <w:r>
        <w:rPr>
          <w:i/>
        </w:rPr>
      </w:r>
    </w:p>
    <w:p>
      <w:pPr>
        <w:pStyle w:val="Titre2"/>
        <w:rPr/>
      </w:pPr>
      <w:bookmarkStart w:id="12" w:name="_n9rj8zpyg5nh"/>
      <w:bookmarkEnd w:id="12"/>
      <w:r>
        <w:rPr/>
        <w:t>Identify temporal versions of the drafted act (typically using point-in-time)</w:t>
      </w:r>
    </w:p>
    <w:p>
      <w:pPr>
        <w:pStyle w:val="Normal1"/>
        <w:rPr/>
      </w:pPr>
      <w:r>
        <w:rPr/>
        <w:t>The (existing) {point-in-time} component SHOULD be used to identify temporal version of the draft act itself.</w:t>
      </w:r>
    </w:p>
    <w:p>
      <w:pPr>
        <w:pStyle w:val="Normal1"/>
        <w:rPr>
          <w:i/>
          <w:i/>
        </w:rPr>
      </w:pPr>
      <w:r>
        <w:rPr>
          <w:i/>
        </w:rPr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Example (fictitious) : </w:t>
      </w:r>
      <w:r>
        <w:rPr>
          <w:rFonts w:eastAsia="Consolas" w:cs="Consolas" w:ascii="Consolas" w:hAnsi="Consolas"/>
          <w:color w:val="CC0000"/>
          <w:shd w:fill="D9D9D9" w:val="clear"/>
        </w:rPr>
        <w:t>/eli/dl/proj/2019/123/draft_act/20190922</w:t>
      </w:r>
    </w:p>
    <w:p>
      <w:pPr>
        <w:pStyle w:val="Normal1"/>
        <w:rPr>
          <w:i/>
          <w:i/>
        </w:rPr>
      </w:pPr>
      <w:r>
        <w:rPr>
          <w:i/>
        </w:rPr>
        <w:t>This URI identifies the draft act of legislative process 123 of 2019, as it was on the 22nd of september 2019.</w:t>
      </w:r>
    </w:p>
    <w:p>
      <w:pPr>
        <w:pStyle w:val="Titre2"/>
        <w:rPr/>
      </w:pPr>
      <w:bookmarkStart w:id="13" w:name="_hnvwax436uja"/>
      <w:bookmarkEnd w:id="13"/>
      <w:r>
        <w:rPr/>
        <w:t>Provide direct access to the latest version of the draft act</w:t>
      </w:r>
    </w:p>
    <w:p>
      <w:pPr>
        <w:pStyle w:val="Normal1"/>
        <w:rPr/>
      </w:pPr>
      <w:r>
        <w:rPr/>
        <w:t>The URI of the draft act without a {point-in-time} identifies the “abstract” draft act, meaning the draft act independently of one of its specific version.</w:t>
      </w:r>
    </w:p>
    <w:p>
      <w:pPr>
        <w:pStyle w:val="Normal1"/>
        <w:rPr/>
      </w:pPr>
      <w:r>
        <w:rPr/>
        <w:t>Such a URI SHOULD return the most recent version of the draft act.</w:t>
      </w:r>
    </w:p>
    <w:p>
      <w:pPr>
        <w:pStyle w:val="Normal1"/>
        <w:rPr/>
      </w:pPr>
      <w:r>
        <w:rPr/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Example (fictitious) : </w:t>
      </w:r>
      <w:r>
        <w:rPr>
          <w:rFonts w:eastAsia="Consolas" w:cs="Consolas" w:ascii="Consolas" w:hAnsi="Consolas"/>
          <w:color w:val="CC0000"/>
          <w:shd w:fill="D9D9D9" w:val="clear"/>
        </w:rPr>
        <w:t>/eli/dl/proj/2019/123/draft_act</w:t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>This URI identifies the draft act of legislative process 123 of 2019, independently of a specific version, and should return the most recent version of the drafted act when accessed.</w:t>
      </w:r>
    </w:p>
    <w:p>
      <w:pPr>
        <w:pStyle w:val="Titre2"/>
        <w:rPr/>
      </w:pPr>
      <w:bookmarkStart w:id="14" w:name="_1rtyz16hkql9"/>
      <w:bookmarkEnd w:id="14"/>
      <w:r>
        <w:rPr/>
        <w:t>FRBR structure remain applicable for documents (to identify language variants and format variants)</w:t>
      </w:r>
    </w:p>
    <w:p>
      <w:pPr>
        <w:pStyle w:val="Normal1"/>
        <w:rPr/>
      </w:pPr>
      <w:r>
        <w:rPr/>
        <w:t>The FRBR structure, with Expressions identifying language variants of a document, and Formats identifying format variants of the same content, remains applicable for any legislative-process-related document. They typically use the existing {language} and {format} existing URI components.</w:t>
      </w:r>
    </w:p>
    <w:p>
      <w:pPr>
        <w:pStyle w:val="Normal1"/>
        <w:rPr/>
      </w:pPr>
      <w:r>
        <w:rPr/>
        <w:t>{point-in-time} remains also applicable if there is a need to identify temporal versions of a document.</w:t>
      </w:r>
    </w:p>
    <w:p>
      <w:pPr>
        <w:pStyle w:val="Normal1"/>
        <w:rPr/>
      </w:pPr>
      <w:r>
        <w:rPr/>
      </w:r>
    </w:p>
    <w:p>
      <w:pPr>
        <w:pStyle w:val="Normal1"/>
        <w:rPr>
          <w:rFonts w:ascii="Consolas" w:hAnsi="Consolas" w:eastAsia="Consolas" w:cs="Consolas"/>
          <w:color w:val="CC0000"/>
          <w:highlight w:val="lightGray"/>
        </w:rPr>
      </w:pPr>
      <w:r>
        <w:rPr>
          <w:i/>
        </w:rPr>
        <w:t xml:space="preserve">Example (fictitious) : </w:t>
      </w:r>
      <w:r>
        <w:rPr>
          <w:rFonts w:eastAsia="Consolas" w:cs="Consolas" w:ascii="Consolas" w:hAnsi="Consolas"/>
          <w:color w:val="CC0000"/>
          <w:shd w:fill="D9D9D9" w:val="clear"/>
        </w:rPr>
        <w:t>/eli/dl/proj/2019/123/doc/abc12/spa/html</w:t>
      </w:r>
    </w:p>
    <w:p>
      <w:pPr>
        <w:pStyle w:val="Normal1"/>
        <w:keepNext w:val="false"/>
        <w:keepLines w:val="false"/>
        <w:widowControl/>
        <w:pBdr/>
        <w:shd w:val="clear" w:fill="auto"/>
        <w:spacing w:lineRule="auto" w:line="276" w:before="0" w:after="0"/>
        <w:ind w:left="0" w:right="0" w:hanging="0"/>
        <w:jc w:val="left"/>
        <w:rPr>
          <w:i/>
          <w:i/>
        </w:rPr>
      </w:pPr>
      <w:r>
        <w:rPr>
          <w:i/>
        </w:rPr>
      </w:r>
    </w:p>
    <w:p>
      <w:pPr>
        <w:pStyle w:val="Normal1"/>
        <w:keepNext w:val="false"/>
        <w:keepLines w:val="false"/>
        <w:widowControl/>
        <w:pBdr/>
        <w:shd w:val="clear" w:fill="auto"/>
        <w:spacing w:lineRule="auto" w:line="276" w:before="0" w:after="0"/>
        <w:ind w:left="0" w:right="0" w:hanging="0"/>
        <w:jc w:val="left"/>
        <w:rPr/>
      </w:pPr>
      <w:r>
        <w:rPr>
          <w:i/>
        </w:rPr>
        <w:t>This URI identifies the HTML format of the Spanish variant of a related document number abc12 in the legislative process 123 of 2019.</w:t>
      </w:r>
    </w:p>
    <w:sectPr>
      <w:type w:val="nextPage"/>
      <w:pgSz w:w="11906" w:h="16838"/>
      <w:pgMar w:left="1281" w:right="1440" w:header="0" w:top="1440" w:footer="0" w:bottom="1440" w:gutter="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Trebuchet M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nsolas">
    <w:charset w:val="01"/>
    <w:family w:val="roman"/>
    <w:pitch w:val="variable"/>
  </w:font>
  <w:font w:name="Wingdings">
    <w:charset w:val="02"/>
    <w:family w:val="auto"/>
    <w:pitch w:val="default"/>
  </w:font>
  <w:font w:name="Wingdings 2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isplayBackgroundShape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zh-CN" w:bidi="hi-IN"/>
    </w:rPr>
  </w:style>
  <w:style w:type="paragraph" w:styleId="Titre1">
    <w:name w:val="Heading 1"/>
    <w:basedOn w:val="Normal1"/>
    <w:next w:val="Normal1"/>
    <w:qFormat/>
    <w:pPr>
      <w:keepNext w:val="true"/>
      <w:keepLines/>
      <w:spacing w:lineRule="auto" w:line="240" w:before="200" w:after="0"/>
    </w:pPr>
    <w:rPr>
      <w:rFonts w:ascii="Trebuchet MS" w:hAnsi="Trebuchet MS" w:eastAsia="Trebuchet MS" w:cs="Trebuchet MS"/>
      <w:sz w:val="32"/>
      <w:szCs w:val="32"/>
    </w:rPr>
  </w:style>
  <w:style w:type="paragraph" w:styleId="Titre2">
    <w:name w:val="Heading 2"/>
    <w:basedOn w:val="Normal1"/>
    <w:next w:val="Normal1"/>
    <w:qFormat/>
    <w:pPr>
      <w:keepNext w:val="true"/>
      <w:keepLines/>
      <w:spacing w:lineRule="auto" w:line="240" w:before="200" w:after="0"/>
    </w:pPr>
    <w:rPr>
      <w:rFonts w:ascii="Trebuchet MS" w:hAnsi="Trebuchet MS" w:eastAsia="Trebuchet MS" w:cs="Trebuchet MS"/>
      <w:b/>
      <w:sz w:val="26"/>
      <w:szCs w:val="26"/>
    </w:rPr>
  </w:style>
  <w:style w:type="paragraph" w:styleId="Titre3">
    <w:name w:val="Heading 3"/>
    <w:basedOn w:val="Normal1"/>
    <w:next w:val="Normal1"/>
    <w:qFormat/>
    <w:pPr>
      <w:keepNext w:val="true"/>
      <w:keepLines/>
      <w:spacing w:lineRule="auto" w:line="240" w:before="160" w:after="0"/>
    </w:pPr>
    <w:rPr>
      <w:rFonts w:ascii="Trebuchet MS" w:hAnsi="Trebuchet MS" w:eastAsia="Trebuchet MS" w:cs="Trebuchet MS"/>
      <w:b/>
      <w:color w:val="666666"/>
      <w:sz w:val="24"/>
      <w:szCs w:val="24"/>
    </w:rPr>
  </w:style>
  <w:style w:type="paragraph" w:styleId="Titre4">
    <w:name w:val="Heading 4"/>
    <w:basedOn w:val="Normal1"/>
    <w:next w:val="Normal1"/>
    <w:qFormat/>
    <w:pPr>
      <w:keepNext w:val="true"/>
      <w:keepLines/>
      <w:spacing w:lineRule="auto" w:line="240" w:before="160" w:after="0"/>
    </w:pPr>
    <w:rPr>
      <w:rFonts w:ascii="Trebuchet MS" w:hAnsi="Trebuchet MS" w:eastAsia="Trebuchet MS" w:cs="Trebuchet MS"/>
      <w:color w:val="666666"/>
      <w:sz w:val="22"/>
      <w:szCs w:val="22"/>
      <w:u w:val="single"/>
    </w:rPr>
  </w:style>
  <w:style w:type="paragraph" w:styleId="Titre5">
    <w:name w:val="Heading 5"/>
    <w:basedOn w:val="Normal1"/>
    <w:next w:val="Normal1"/>
    <w:qFormat/>
    <w:pPr>
      <w:keepNext w:val="true"/>
      <w:keepLines/>
      <w:spacing w:lineRule="auto" w:line="240" w:before="160" w:after="0"/>
    </w:pPr>
    <w:rPr>
      <w:rFonts w:ascii="Trebuchet MS" w:hAnsi="Trebuchet MS" w:eastAsia="Trebuchet MS" w:cs="Trebuchet MS"/>
      <w:color w:val="666666"/>
      <w:sz w:val="22"/>
      <w:szCs w:val="22"/>
    </w:rPr>
  </w:style>
  <w:style w:type="paragraph" w:styleId="Titre6">
    <w:name w:val="Heading 6"/>
    <w:basedOn w:val="Normal1"/>
    <w:next w:val="Normal1"/>
    <w:qFormat/>
    <w:pPr>
      <w:keepNext w:val="true"/>
      <w:keepLines/>
      <w:spacing w:lineRule="auto" w:line="240" w:before="160" w:after="0"/>
    </w:pPr>
    <w:rPr>
      <w:rFonts w:ascii="Trebuchet MS" w:hAnsi="Trebuchet MS" w:eastAsia="Trebuchet MS" w:cs="Trebuchet MS"/>
      <w:i/>
      <w:color w:val="666666"/>
      <w:sz w:val="22"/>
      <w:szCs w:val="22"/>
    </w:rPr>
  </w:style>
  <w:style w:type="character" w:styleId="LienInternet">
    <w:name w:val="Lien Internet"/>
    <w:rPr>
      <w:color w:val="000080"/>
      <w:u w:val="single"/>
      <w:lang w:val="zxx" w:eastAsia="zxx" w:bidi="zxx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fr-FR" w:eastAsia="zh-CN" w:bidi="hi-IN"/>
    </w:rPr>
  </w:style>
  <w:style w:type="paragraph" w:styleId="Titreprincipal">
    <w:name w:val="Title"/>
    <w:basedOn w:val="Normal1"/>
    <w:next w:val="Normal1"/>
    <w:qFormat/>
    <w:pPr>
      <w:keepNext w:val="true"/>
      <w:keepLines/>
      <w:spacing w:lineRule="auto" w:line="240" w:before="0" w:after="0"/>
    </w:pPr>
    <w:rPr>
      <w:rFonts w:ascii="Trebuchet MS" w:hAnsi="Trebuchet MS" w:eastAsia="Trebuchet MS" w:cs="Trebuchet MS"/>
      <w:sz w:val="42"/>
      <w:szCs w:val="42"/>
    </w:rPr>
  </w:style>
  <w:style w:type="paragraph" w:styleId="Soustitre">
    <w:name w:val="Subtitle"/>
    <w:basedOn w:val="Normal1"/>
    <w:next w:val="Normal1"/>
    <w:qFormat/>
    <w:pPr>
      <w:keepNext w:val="true"/>
      <w:keepLines/>
      <w:spacing w:lineRule="auto" w:line="240" w:before="0" w:after="200"/>
    </w:pPr>
    <w:rPr>
      <w:rFonts w:ascii="Trebuchet MS" w:hAnsi="Trebuchet MS" w:eastAsia="Trebuchet MS" w:cs="Trebuchet MS"/>
      <w:i/>
      <w:color w:val="666666"/>
      <w:sz w:val="26"/>
      <w:szCs w:val="26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publications.europa.eu/resource/cellar/c2f0e4f9-ed6f-11e8-b690-01aa75ed71a1.0001.03/DOC_2" TargetMode="External"/><Relationship Id="rId3" Type="http://schemas.openxmlformats.org/officeDocument/2006/relationships/hyperlink" Target="https://tools.ietf.org/html/bcp14" TargetMode="External"/><Relationship Id="rId4" Type="http://schemas.openxmlformats.org/officeDocument/2006/relationships/hyperlink" Target="https://tools.ietf.org/html/bcp14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LibreOffice/6.4.7.2$Linux_X86_64 LibreOffice_project/40$Build-2</Application>
  <Pages>5</Pages>
  <Words>1394</Words>
  <Characters>8239</Characters>
  <CharactersWithSpaces>9539</CharactersWithSpaces>
  <Paragraphs>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fr-FR</dc:language>
  <cp:lastModifiedBy/>
  <dcterms:modified xsi:type="dcterms:W3CDTF">2022-01-10T12:06:19Z</dcterms:modified>
  <cp:revision>1</cp:revision>
  <dc:subject/>
  <dc:title/>
</cp:coreProperties>
</file>